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3727" w:rsidRPr="00D33727" w:rsidRDefault="00D33727" w:rsidP="00D33727">
      <w:pPr>
        <w:pStyle w:val="Sinespaciado"/>
        <w:jc w:val="center"/>
        <w:rPr>
          <w:rFonts w:ascii="Arial" w:hAnsi="Arial" w:cs="Arial"/>
          <w:b/>
        </w:rPr>
      </w:pPr>
      <w:r w:rsidRPr="00D33727">
        <w:rPr>
          <w:rFonts w:ascii="Arial" w:hAnsi="Arial" w:cs="Arial"/>
          <w:b/>
        </w:rPr>
        <w:t>RESPALDAMOS UNA MOVILIDAD SEGURA Y DIGNA PARA LA CIUDADANÍA: ANA PATY PERALTA</w:t>
      </w:r>
    </w:p>
    <w:p w:rsidR="00D33727" w:rsidRPr="00D33727" w:rsidRDefault="00D33727" w:rsidP="00D33727">
      <w:pPr>
        <w:pStyle w:val="Sinespaciado"/>
        <w:jc w:val="both"/>
        <w:rPr>
          <w:rFonts w:ascii="Arial" w:hAnsi="Arial" w:cs="Arial"/>
          <w:bCs/>
        </w:rPr>
      </w:pPr>
    </w:p>
    <w:p w:rsidR="00D33727" w:rsidRPr="00D33727" w:rsidRDefault="00D33727" w:rsidP="00D33727">
      <w:pPr>
        <w:pStyle w:val="Sinespaciado"/>
        <w:jc w:val="both"/>
        <w:rPr>
          <w:rFonts w:ascii="Arial" w:hAnsi="Arial" w:cs="Arial"/>
          <w:bCs/>
        </w:rPr>
      </w:pPr>
      <w:r w:rsidRPr="00D33727">
        <w:rPr>
          <w:rFonts w:ascii="Arial" w:hAnsi="Arial" w:cs="Arial"/>
          <w:bCs/>
        </w:rPr>
        <w:t>•</w:t>
      </w:r>
      <w:r w:rsidRPr="00D33727">
        <w:rPr>
          <w:rFonts w:ascii="Arial" w:hAnsi="Arial" w:cs="Arial"/>
          <w:bCs/>
        </w:rPr>
        <w:tab/>
        <w:t xml:space="preserve">El Cabildo de Benito Juárez votó por unanimidad adhesiones a la Constitución Política del Estado para asegurar la capacidad presupuestal destinada a movilidad y seguridad vial, para beneficio de los usuarios locales y turistas </w:t>
      </w:r>
    </w:p>
    <w:p w:rsidR="00D33727" w:rsidRPr="00D33727" w:rsidRDefault="00D33727" w:rsidP="00D33727">
      <w:pPr>
        <w:pStyle w:val="Sinespaciado"/>
        <w:jc w:val="both"/>
        <w:rPr>
          <w:rFonts w:ascii="Arial" w:hAnsi="Arial" w:cs="Arial"/>
          <w:bCs/>
        </w:rPr>
      </w:pPr>
    </w:p>
    <w:p w:rsidR="00D33727" w:rsidRPr="00D33727" w:rsidRDefault="00D33727" w:rsidP="00D33727">
      <w:pPr>
        <w:pStyle w:val="Sinespaciado"/>
        <w:jc w:val="both"/>
        <w:rPr>
          <w:rFonts w:ascii="Arial" w:hAnsi="Arial" w:cs="Arial"/>
          <w:bCs/>
        </w:rPr>
      </w:pPr>
      <w:r w:rsidRPr="00D33727">
        <w:rPr>
          <w:rFonts w:ascii="Arial" w:hAnsi="Arial" w:cs="Arial"/>
          <w:bCs/>
        </w:rPr>
        <w:t>•</w:t>
      </w:r>
      <w:r w:rsidRPr="00D33727">
        <w:rPr>
          <w:rFonts w:ascii="Arial" w:hAnsi="Arial" w:cs="Arial"/>
          <w:bCs/>
        </w:rPr>
        <w:tab/>
        <w:t>Forma parte del Sistema de Movilidad del Bienestar Quintanarroense (MOBI), para lograr un transporte más ordenado, moderno y eficiente</w:t>
      </w:r>
    </w:p>
    <w:p w:rsidR="00D33727" w:rsidRPr="00D33727" w:rsidRDefault="00D33727" w:rsidP="00D33727">
      <w:pPr>
        <w:pStyle w:val="Sinespaciado"/>
        <w:jc w:val="both"/>
        <w:rPr>
          <w:rFonts w:ascii="Arial" w:hAnsi="Arial" w:cs="Arial"/>
          <w:bCs/>
        </w:rPr>
      </w:pPr>
    </w:p>
    <w:p w:rsidR="00D33727" w:rsidRPr="00D33727" w:rsidRDefault="00D33727" w:rsidP="00D33727">
      <w:pPr>
        <w:pStyle w:val="Sinespaciado"/>
        <w:jc w:val="both"/>
        <w:rPr>
          <w:rFonts w:ascii="Arial" w:hAnsi="Arial" w:cs="Arial"/>
          <w:bCs/>
        </w:rPr>
      </w:pPr>
      <w:r w:rsidRPr="00D33727">
        <w:rPr>
          <w:rFonts w:ascii="Arial" w:hAnsi="Arial" w:cs="Arial"/>
          <w:b/>
        </w:rPr>
        <w:t>Cancún, Q. R., a 06 de marzo de 2026.-</w:t>
      </w:r>
      <w:r w:rsidRPr="00D33727">
        <w:rPr>
          <w:rFonts w:ascii="Arial" w:hAnsi="Arial" w:cs="Arial"/>
          <w:bCs/>
        </w:rPr>
        <w:t xml:space="preserve"> “Este es un un paso hacia resolver una de las grandes deudas que tenemos en el sistema de movilidad, en el transporte público de nuestra ciudad. Hoy uno de los grandes compromisos y sobre todo que es prioridad, es mejorar ese rubro, por eso yo celebro esta iniciativa, impulsada por nuestra gobernadora Mara Lezama", afirmó la Presidenta Municipal, Ana Paty Peralta. </w:t>
      </w:r>
    </w:p>
    <w:p w:rsidR="00D33727" w:rsidRPr="00D33727" w:rsidRDefault="00D33727" w:rsidP="00D33727">
      <w:pPr>
        <w:pStyle w:val="Sinespaciado"/>
        <w:jc w:val="both"/>
        <w:rPr>
          <w:rFonts w:ascii="Arial" w:hAnsi="Arial" w:cs="Arial"/>
          <w:bCs/>
        </w:rPr>
      </w:pPr>
    </w:p>
    <w:p w:rsidR="00D33727" w:rsidRPr="00D33727" w:rsidRDefault="00D33727" w:rsidP="00D33727">
      <w:pPr>
        <w:pStyle w:val="Sinespaciado"/>
        <w:jc w:val="both"/>
        <w:rPr>
          <w:rFonts w:ascii="Arial" w:hAnsi="Arial" w:cs="Arial"/>
          <w:bCs/>
        </w:rPr>
      </w:pPr>
      <w:r w:rsidRPr="00D33727">
        <w:rPr>
          <w:rFonts w:ascii="Arial" w:hAnsi="Arial" w:cs="Arial"/>
          <w:bCs/>
        </w:rPr>
        <w:t xml:space="preserve">Lo anterior, al encabezar la Décima Novena Sesión Extraordinaria de Cabildo, en el que se aprobó por unanimidad de votos, la adhesión de un tercer párrafo al artículo 19 de la Constitución Política del Estado Libre y Soberano de Quintana Roo, que tiene que ver con asegurar la capacidad presupuestal del Estado en ese rubro, por lo que también agradeció la voluntad de dicho cuerpo colegiado para privilegiar el interés colectivo, ya que se podrá mejorar la calidad de vida de los usuarios de dicho servicio. </w:t>
      </w:r>
    </w:p>
    <w:p w:rsidR="00D33727" w:rsidRPr="00D33727" w:rsidRDefault="00D33727" w:rsidP="00D33727">
      <w:pPr>
        <w:pStyle w:val="Sinespaciado"/>
        <w:jc w:val="both"/>
        <w:rPr>
          <w:rFonts w:ascii="Arial" w:hAnsi="Arial" w:cs="Arial"/>
          <w:bCs/>
        </w:rPr>
      </w:pPr>
    </w:p>
    <w:p w:rsidR="00D33727" w:rsidRPr="00D33727" w:rsidRDefault="00D33727" w:rsidP="00D33727">
      <w:pPr>
        <w:pStyle w:val="Sinespaciado"/>
        <w:jc w:val="both"/>
        <w:rPr>
          <w:rFonts w:ascii="Arial" w:hAnsi="Arial" w:cs="Arial"/>
          <w:bCs/>
        </w:rPr>
      </w:pPr>
      <w:r w:rsidRPr="00D33727">
        <w:rPr>
          <w:rFonts w:ascii="Arial" w:hAnsi="Arial" w:cs="Arial"/>
          <w:bCs/>
        </w:rPr>
        <w:t xml:space="preserve">Ana Paty Peralta destacó que la decisión forma parte del Sistema de Movilidad del Bienestar Quintanarroense (MOBI), que permitirá avanzar hacia un transporte más ordenado, moderno y eficiente, ya que incorpora tecnología, mejor planeación de rutas y mayor supervisión, siempre poniendo en el centro a los ciudadanos y miles de visitantes que se reciben. </w:t>
      </w:r>
    </w:p>
    <w:p w:rsidR="00D33727" w:rsidRPr="00D33727" w:rsidRDefault="00D33727" w:rsidP="00D33727">
      <w:pPr>
        <w:pStyle w:val="Sinespaciado"/>
        <w:jc w:val="both"/>
        <w:rPr>
          <w:rFonts w:ascii="Arial" w:hAnsi="Arial" w:cs="Arial"/>
          <w:bCs/>
        </w:rPr>
      </w:pPr>
    </w:p>
    <w:p w:rsidR="00D33727" w:rsidRPr="00D33727" w:rsidRDefault="00D33727" w:rsidP="00D33727">
      <w:pPr>
        <w:pStyle w:val="Sinespaciado"/>
        <w:jc w:val="both"/>
        <w:rPr>
          <w:rFonts w:ascii="Arial" w:hAnsi="Arial" w:cs="Arial"/>
          <w:bCs/>
        </w:rPr>
      </w:pPr>
      <w:r w:rsidRPr="00D33727">
        <w:rPr>
          <w:rFonts w:ascii="Arial" w:hAnsi="Arial" w:cs="Arial"/>
          <w:bCs/>
        </w:rPr>
        <w:t>"Trabajaremos de la mano para que nuestro municipio se transforme realmente en la movilidad.  No solamente es con las inversiones en camiones, rutas, tienen que existir rutas, horarios y demás, sino también en lo que se está haciendo desde este gobierno impulsado por el Cabildo, las inversiones en infraestructura, como por ejemplo la movilidad activa, donde priorizamos a las personas y al peatón", indicó y resaltó que con ese propósito, actualmente se elabora el Programa Integral de Movilidad Urbana Sustentable de la Zona Metropolitana Cancún-Isla Mujeres (PIMUS).</w:t>
      </w:r>
    </w:p>
    <w:p w:rsidR="00D33727" w:rsidRPr="00D33727" w:rsidRDefault="00D33727" w:rsidP="00D33727">
      <w:pPr>
        <w:pStyle w:val="Sinespaciado"/>
        <w:jc w:val="both"/>
        <w:rPr>
          <w:rFonts w:ascii="Arial" w:hAnsi="Arial" w:cs="Arial"/>
          <w:bCs/>
        </w:rPr>
      </w:pPr>
    </w:p>
    <w:p w:rsidR="00D33727" w:rsidRPr="00D33727" w:rsidRDefault="00D33727" w:rsidP="00D33727">
      <w:pPr>
        <w:pStyle w:val="Sinespaciado"/>
        <w:jc w:val="both"/>
        <w:rPr>
          <w:rFonts w:ascii="Arial" w:hAnsi="Arial" w:cs="Arial"/>
          <w:bCs/>
        </w:rPr>
      </w:pPr>
      <w:r w:rsidRPr="00D33727">
        <w:rPr>
          <w:rFonts w:ascii="Arial" w:hAnsi="Arial" w:cs="Arial"/>
          <w:bCs/>
        </w:rPr>
        <w:lastRenderedPageBreak/>
        <w:t xml:space="preserve">Al finalizar, se indicó que dicho acuerdo será enviado a la XVIII Legislatura del Congreso del Estado de Quintana Roo, para los efectos previstos en el artículo 164 de la Constitución estatal. </w:t>
      </w:r>
    </w:p>
    <w:p w:rsidR="00D33727" w:rsidRPr="00D33727" w:rsidRDefault="00D33727" w:rsidP="00D33727">
      <w:pPr>
        <w:pStyle w:val="Sinespaciado"/>
        <w:jc w:val="both"/>
        <w:rPr>
          <w:rFonts w:ascii="Arial" w:hAnsi="Arial" w:cs="Arial"/>
          <w:bCs/>
        </w:rPr>
      </w:pPr>
    </w:p>
    <w:p w:rsidR="00630F3C" w:rsidRPr="00D33727" w:rsidRDefault="00D33727" w:rsidP="00D33727">
      <w:pPr>
        <w:pStyle w:val="Sinespaciado"/>
        <w:jc w:val="center"/>
        <w:rPr>
          <w:rFonts w:ascii="Arial" w:hAnsi="Arial" w:cs="Arial"/>
          <w:bCs/>
          <w:lang w:val="en-US"/>
        </w:rPr>
      </w:pPr>
      <w:r w:rsidRPr="00D33727">
        <w:rPr>
          <w:rFonts w:ascii="Arial" w:hAnsi="Arial" w:cs="Arial"/>
          <w:bCs/>
          <w:lang w:val="en-US"/>
        </w:rPr>
        <w:t>****</w:t>
      </w:r>
      <w:r>
        <w:rPr>
          <w:rFonts w:ascii="Arial" w:hAnsi="Arial" w:cs="Arial"/>
          <w:bCs/>
          <w:lang w:val="en-US"/>
        </w:rPr>
        <w:t>********</w:t>
      </w:r>
    </w:p>
    <w:sectPr w:rsidR="00630F3C" w:rsidRPr="00D33727">
      <w:headerReference w:type="default" r:id="rId9"/>
      <w:footerReference w:type="default" r:id="rId10"/>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482B" w:rsidRDefault="009D482B">
      <w:r>
        <w:separator/>
      </w:r>
    </w:p>
  </w:endnote>
  <w:endnote w:type="continuationSeparator" w:id="0">
    <w:p w:rsidR="009D482B" w:rsidRDefault="009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panose1 w:val="02010600030101010101"/>
    <w:charset w:val="00"/>
    <w:family w:val="auto"/>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F3C" w:rsidRDefault="00000000">
    <w:pPr>
      <w:tabs>
        <w:tab w:val="center" w:pos="4419"/>
        <w:tab w:val="right" w:pos="8838"/>
      </w:tabs>
      <w:rPr>
        <w:color w:val="000000"/>
        <w:sz w:val="22"/>
        <w:szCs w:val="22"/>
      </w:rPr>
    </w:pPr>
    <w:r>
      <w:rPr>
        <w:noProof/>
      </w:rP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482B" w:rsidRDefault="009D482B">
      <w:r>
        <w:separator/>
      </w:r>
    </w:p>
  </w:footnote>
  <w:footnote w:type="continuationSeparator" w:id="0">
    <w:p w:rsidR="009D482B" w:rsidRDefault="009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F3C" w:rsidRDefault="00000000">
    <w:pPr>
      <w:jc w:val="center"/>
      <w:rPr>
        <w:color w:val="000000"/>
        <w:sz w:val="22"/>
        <w:szCs w:val="22"/>
      </w:rPr>
    </w:pPr>
    <w:r>
      <w:rPr>
        <w:noProof/>
      </w:rP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30F3C" w:rsidRDefault="00000000">
                          <w:pPr>
                            <w:rPr>
                              <w:lang w:val="en-US"/>
                            </w:rPr>
                          </w:pPr>
                          <w:r>
                            <w:rPr>
                              <w:b/>
                              <w:color w:val="000000"/>
                            </w:rPr>
                            <w:t xml:space="preserve">Comunicado de prensa: </w:t>
                          </w:r>
                          <w:r w:rsidR="00D33727">
                            <w:rPr>
                              <w:b/>
                              <w:color w:val="000000"/>
                            </w:rPr>
                            <w:t>2047</w:t>
                          </w:r>
                        </w:p>
                      </w:txbxContent>
                    </wps:txbx>
                    <wps:bodyPr spcFirstLastPara="1" wrap="square" lIns="91425" tIns="45700" rIns="91425" bIns="45700" anchor="ctr" anchorCtr="0">
                      <a:noAutofit/>
                    </wps:bodyPr>
                  </wps:wsp>
                </a:graphicData>
              </a:graphic>
            </wp:anchor>
          </w:drawing>
        </mc:Choice>
        <mc:Fallback>
          <w:pict>
            <v:rect id="Rectángulo 2126784213" o:spid="_x0000_s1026" style="position:absolute;left:0;text-align:left;margin-left:318pt;margin-top:-21.95pt;width:186.4pt;height:2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ofIwIAAEwEAAAOAAAAZHJzL2Uyb0RvYy54bWysVNuO0zAQfUfiHyy/0yTddretmq7QliKk&#13;&#10;FVtp4QOmjt1Y+IbtNunfM3bKtgtISIg8OB57cubMzJks73utyJH7IK2paTUqKeGG2UaafU2/ftm8&#13;&#10;m1ESIpgGlDW8pice6P3q7Ztl5xZ8bFurGu4Jgpiw6FxN2xjdoigCa7mGMLKOG7wU1muIaPp90Xjo&#13;&#10;EF2rYlyWt0VnfeO8ZTwEPF0Pl3SV8YXgLD4JEXgkqqbILebV53WX1mK1hMXeg2slO9OAf2ChQRoM&#13;&#10;+gK1hgjk4OVvUFoyb4MVccSsLqwQkvGcA2ZTlb9k89yC4zkXLE5wL2UK/w+WfT4+u63HMnQuLAJu&#13;&#10;Uxa98Dq9kR/pazqpbmd3FZbvVNOb22o+n50Lx/tIGDqMb6aTKR4SljywL5PsUFyQnA/xI7eapE1N&#13;&#10;PTYm1wuOjyFidHT96ZICB6tks5FKZSOJgT8oT46AbVSxSm3DL155KUM6VOD4rkw8ALUkFETcatfU&#13;&#10;NJh9jvfqk6yyC3Dz7Y/AidcaQjtEzwCDbLSMqF0ldU1nZXqG45ZD88E0JJ4cCt6g7GliFjQliuOQ&#13;&#10;4CarLoJUf/fDNJXBbC/tSbvY7/pzz3a2OW09CY5tJDJ9hBC34FHEFYZFYWPA7wfwSEJ9MqiceTUZ&#13;&#10;T3ESsjGZ5nL565vd9Q0Y1lqcFxY9JYPxEPP8pM4Y+/4QrZC5g4nXQOZMFyWb23QerzQT13b2uvwE&#13;&#10;Vj8AAAD//wMAUEsDBBQABgAIAAAAIQDjZgrC4QAAABABAAAPAAAAZHJzL2Rvd25yZXYueG1sTI9N&#13;&#10;T8MwDIbvSPyHyEjctmQMla1rOvEhTnBZ4cLNbdwPrUmqOt3KvyfjAhfLlu33fZ9sP9tenGjkzjsN&#13;&#10;q6UCQa7ypnONhs+P18UGBAd0BnvvSMM3Mezz66sMU+PP7kCnIjQiijhOUUMbwpBKyVVLFnnpB3Jx&#13;&#10;V/vRYojj2Egz4jmK217eKZVIi52LDi0O9NxSdSwmq4FCT/xU8oRf9P5W1Fyuan7Q+vZmftnF8rgD&#13;&#10;EWgOfx9wYYj5IY/BSj85w6LXkKyTCBQ0LO7XWxCXC6U2Ean87UDmmfwPkv8AAAD//wMAUEsBAi0A&#13;&#10;FAAGAAgAAAAhALaDOJL+AAAA4QEAABMAAAAAAAAAAAAAAAAAAAAAAFtDb250ZW50X1R5cGVzXS54&#13;&#10;bWxQSwECLQAUAAYACAAAACEAOP0h/9YAAACUAQAACwAAAAAAAAAAAAAAAAAvAQAAX3JlbHMvLnJl&#13;&#10;bHNQSwECLQAUAAYACAAAACEAiFf6HyMCAABMBAAADgAAAAAAAAAAAAAAAAAuAgAAZHJzL2Uyb0Rv&#13;&#10;Yy54bWxQSwECLQAUAAYACAAAACEA42YKwuEAAAAQAQAADwAAAAAAAAAAAAAAAAB9BAAAZHJzL2Rv&#13;&#10;d25yZXYueG1sUEsFBgAAAAAEAAQA8wAAAIsFAAAAAA==&#13;&#10;" fillcolor="white [3201]" strokecolor="black [3200]" strokeweight="1pt">
              <v:stroke startarrowwidth="narrow" startarrowlength="short" endarrowwidth="narrow" endarrowlength="short"/>
              <v:textbox inset="2.53958mm,1.2694mm,2.53958mm,1.2694mm">
                <w:txbxContent>
                  <w:p w:rsidR="00630F3C" w:rsidRDefault="00000000">
                    <w:pPr>
                      <w:rPr>
                        <w:lang w:val="en-US"/>
                      </w:rPr>
                    </w:pPr>
                    <w:r>
                      <w:rPr>
                        <w:b/>
                        <w:color w:val="000000"/>
                      </w:rPr>
                      <w:t xml:space="preserve">Comunicado de prensa: </w:t>
                    </w:r>
                    <w:r w:rsidR="00D33727">
                      <w:rPr>
                        <w:b/>
                        <w:color w:val="000000"/>
                      </w:rPr>
                      <w:t>2047</w:t>
                    </w:r>
                  </w:p>
                </w:txbxContent>
              </v:textbox>
            </v:rect>
          </w:pict>
        </mc:Fallback>
      </mc:AlternateContent>
    </w:r>
  </w:p>
  <w:p w:rsidR="00630F3C" w:rsidRDefault="00630F3C">
    <w:pP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58DA34"/>
    <w:multiLevelType w:val="singleLevel"/>
    <w:tmpl w:val="DE58DA3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A892D33"/>
    <w:multiLevelType w:val="hybridMultilevel"/>
    <w:tmpl w:val="911452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F14BEF"/>
    <w:multiLevelType w:val="hybridMultilevel"/>
    <w:tmpl w:val="B47686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37F0735"/>
    <w:multiLevelType w:val="hybridMultilevel"/>
    <w:tmpl w:val="60F863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45331574">
    <w:abstractNumId w:val="0"/>
  </w:num>
  <w:num w:numId="2" w16cid:durableId="1511211570">
    <w:abstractNumId w:val="1"/>
  </w:num>
  <w:num w:numId="3" w16cid:durableId="1574659577">
    <w:abstractNumId w:val="3"/>
  </w:num>
  <w:num w:numId="4" w16cid:durableId="301078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569EF"/>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936AC"/>
    <w:rsid w:val="005B19F6"/>
    <w:rsid w:val="005B50BA"/>
    <w:rsid w:val="005C2013"/>
    <w:rsid w:val="00630F3C"/>
    <w:rsid w:val="006351FA"/>
    <w:rsid w:val="00663836"/>
    <w:rsid w:val="0066609C"/>
    <w:rsid w:val="006714CE"/>
    <w:rsid w:val="0068069F"/>
    <w:rsid w:val="006D4151"/>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9B"/>
    <w:rsid w:val="008A0AD5"/>
    <w:rsid w:val="008C63C7"/>
    <w:rsid w:val="008E604A"/>
    <w:rsid w:val="008F390E"/>
    <w:rsid w:val="00912DE7"/>
    <w:rsid w:val="00913560"/>
    <w:rsid w:val="009143D6"/>
    <w:rsid w:val="00970173"/>
    <w:rsid w:val="00975B0E"/>
    <w:rsid w:val="009868EB"/>
    <w:rsid w:val="009B06DE"/>
    <w:rsid w:val="009C5071"/>
    <w:rsid w:val="009D482B"/>
    <w:rsid w:val="00A03744"/>
    <w:rsid w:val="00A13E7D"/>
    <w:rsid w:val="00A36177"/>
    <w:rsid w:val="00A36C58"/>
    <w:rsid w:val="00A53C50"/>
    <w:rsid w:val="00A72B6E"/>
    <w:rsid w:val="00A85867"/>
    <w:rsid w:val="00A864C3"/>
    <w:rsid w:val="00A95931"/>
    <w:rsid w:val="00AC15EE"/>
    <w:rsid w:val="00AD0D8A"/>
    <w:rsid w:val="00AD5A13"/>
    <w:rsid w:val="00AF26DF"/>
    <w:rsid w:val="00B04262"/>
    <w:rsid w:val="00B26DC9"/>
    <w:rsid w:val="00B353D1"/>
    <w:rsid w:val="00B53CF6"/>
    <w:rsid w:val="00B730A6"/>
    <w:rsid w:val="00C50357"/>
    <w:rsid w:val="00C77412"/>
    <w:rsid w:val="00CA0000"/>
    <w:rsid w:val="00CC1427"/>
    <w:rsid w:val="00CD1CC4"/>
    <w:rsid w:val="00CD2043"/>
    <w:rsid w:val="00CD490B"/>
    <w:rsid w:val="00D04846"/>
    <w:rsid w:val="00D33727"/>
    <w:rsid w:val="00D60281"/>
    <w:rsid w:val="00D66BB6"/>
    <w:rsid w:val="00D67B3D"/>
    <w:rsid w:val="00D75208"/>
    <w:rsid w:val="00DA7483"/>
    <w:rsid w:val="00DB5AA4"/>
    <w:rsid w:val="00DC3351"/>
    <w:rsid w:val="00DC7A3F"/>
    <w:rsid w:val="00DF7092"/>
    <w:rsid w:val="00E76818"/>
    <w:rsid w:val="00E94A60"/>
    <w:rsid w:val="00EA0A78"/>
    <w:rsid w:val="00ED5A11"/>
    <w:rsid w:val="00EE6DDF"/>
    <w:rsid w:val="00EE78A7"/>
    <w:rsid w:val="00EF3CFD"/>
    <w:rsid w:val="00F03A72"/>
    <w:rsid w:val="00F42F82"/>
    <w:rsid w:val="00F52A88"/>
    <w:rsid w:val="00FB1CF5"/>
    <w:rsid w:val="00FE7F42"/>
    <w:rsid w:val="00FF03DE"/>
    <w:rsid w:val="00FF307C"/>
    <w:rsid w:val="00FF5F2B"/>
    <w:rsid w:val="198322D3"/>
    <w:rsid w:val="4C15677E"/>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A518BA"/>
  <w15:docId w15:val="{8139414B-314A-424C-A8C0-C4A37A6F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MX"/>
    </w:rPr>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lang w:val="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hAnsi="Cambria" w:cs="Times New Roman"/>
      <w:sz w:val="24"/>
      <w:szCs w:val="24"/>
      <w:lang w:eastAsia="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uiPriority w:val="9"/>
    <w:qFormat/>
    <w:rPr>
      <w:rFonts w:asciiTheme="majorHAnsi" w:eastAsiaTheme="majorEastAsia" w:hAnsiTheme="majorHAnsi" w:cstheme="majorBidi"/>
      <w:color w:val="2F5496" w:themeColor="accent1" w:themeShade="BF"/>
      <w:kern w:val="0"/>
      <w:sz w:val="32"/>
      <w:szCs w:val="32"/>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2118</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Microsoft Office User</cp:lastModifiedBy>
  <cp:revision>2</cp:revision>
  <dcterms:created xsi:type="dcterms:W3CDTF">2026-03-06T20:42:00Z</dcterms:created>
  <dcterms:modified xsi:type="dcterms:W3CDTF">2026-03-06T20:42:00Z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B84D7AA4C86144D7A415B9E978B77ECF_13</vt:lpwstr>
  </property>
</Properties>
</file>